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DD6557" w:rsidRDefault="001203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Прокуратура </w:t>
      </w:r>
      <w:proofErr w:type="spellStart"/>
      <w:r>
        <w:rPr>
          <w:rFonts w:ascii="Times New Roman" w:hAnsi="Times New Roman"/>
          <w:b/>
          <w:sz w:val="28"/>
        </w:rPr>
        <w:t>Балтачевского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РБ</w:t>
      </w:r>
      <w:r>
        <w:rPr>
          <w:rFonts w:ascii="Times New Roman" w:hAnsi="Times New Roman"/>
          <w:b/>
          <w:sz w:val="28"/>
        </w:rPr>
        <w:t xml:space="preserve"> разъясняет:</w:t>
      </w:r>
    </w:p>
    <w:p w14:paraId="02000000" w14:textId="77777777" w:rsidR="00DD6557" w:rsidRDefault="001203C3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Внесены изменения в некоторые законодательные акты РФ, направленные на совершенствование мер противодействия преступлениям, совершаемым с использованием информационно-коммуникационных технологий</w:t>
      </w:r>
    </w:p>
    <w:p w14:paraId="03000000" w14:textId="77777777" w:rsidR="00DD6557" w:rsidRDefault="00DD6557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4000000" w14:textId="77777777" w:rsidR="00DD6557" w:rsidRDefault="001203C3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Изменениями, в частности, регулируются вопросы взаимодействия операторов по переводу денежных средств с Банком России, вводятся понятия «База данных идентификаторов пользовательского оборудования (оконечного оборудования)», «Национальный удостоверяющий цен</w:t>
      </w:r>
      <w:r>
        <w:rPr>
          <w:rFonts w:ascii="Times New Roman" w:hAnsi="Times New Roman"/>
          <w:sz w:val="28"/>
        </w:rPr>
        <w:t>тр», «Сертификат безопасности национального удостоверяющего центра», «Единая система учета платежных карт», устанавливается возможность применения оператором связи мер по защите абонентов в связи с выявлением соответствующих критериев подозрительного повед</w:t>
      </w:r>
      <w:r>
        <w:rPr>
          <w:rFonts w:ascii="Times New Roman" w:hAnsi="Times New Roman"/>
          <w:sz w:val="28"/>
        </w:rPr>
        <w:t>ения, дополняются обязанности оператора по переводу денежных средств по защите своего программного обеспечения, используемого клиентом - физическим лицом в целях осуществления переводов денежных средств, включая мобильное приложение и официальный сайт в се</w:t>
      </w:r>
      <w:r>
        <w:rPr>
          <w:rFonts w:ascii="Times New Roman" w:hAnsi="Times New Roman"/>
          <w:sz w:val="28"/>
        </w:rPr>
        <w:t>ти «Интернет».</w:t>
      </w:r>
    </w:p>
    <w:p w14:paraId="05000000" w14:textId="77777777" w:rsidR="00DD6557" w:rsidRDefault="001203C3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оператора по переводу денежных средств возлагается обязанность по внесению до 1 сентября 2027 года в ранее заключенные с клиентами - физическими лицами договоры, предусматривающие возможность осуществления переводов денежных средств, допо</w:t>
      </w:r>
      <w:r>
        <w:rPr>
          <w:rFonts w:ascii="Times New Roman" w:hAnsi="Times New Roman"/>
          <w:sz w:val="28"/>
        </w:rPr>
        <w:t>лнения, предусматривающие обязанность оператора применять в отношении своего программного обеспечения средства защиты информации, позволяющие осуществлять выявление и контроль случаев воздействия вредоносного программного обеспечения на программное обеспеч</w:t>
      </w:r>
      <w:r>
        <w:rPr>
          <w:rFonts w:ascii="Times New Roman" w:hAnsi="Times New Roman"/>
          <w:sz w:val="28"/>
        </w:rPr>
        <w:t>ение, используемое физическим лицом, а также положение о праве клиента - физического лица предоставить согласие на подключения этих средств защиты информации на пользовательское оборудование (оконечное оборудование) клиента - физического лица либо отказать</w:t>
      </w:r>
      <w:r>
        <w:rPr>
          <w:rFonts w:ascii="Times New Roman" w:hAnsi="Times New Roman"/>
          <w:sz w:val="28"/>
        </w:rPr>
        <w:t>ся от предоставления такого согласия.</w:t>
      </w:r>
    </w:p>
    <w:sectPr w:rsidR="00DD655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57"/>
    <w:rsid w:val="001203C3"/>
    <w:rsid w:val="00D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8B320-3B01-4AC2-9F04-BB8CDEB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eeds-pagenavigationicon">
    <w:name w:val="feeds-page__navigation_icon"/>
    <w:basedOn w:val="15"/>
    <w:link w:val="feeds-pagenavigationicon0"/>
  </w:style>
  <w:style w:type="character" w:customStyle="1" w:styleId="feeds-pagenavigationicon0">
    <w:name w:val="feeds-page__navigation_icon"/>
    <w:basedOn w:val="a0"/>
    <w:link w:val="feeds-pagenavigationicon"/>
  </w:style>
  <w:style w:type="paragraph" w:customStyle="1" w:styleId="feeds-pagenavigationtooltip">
    <w:name w:val="feeds-page__navigation_tooltip"/>
    <w:basedOn w:val="15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6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2026-06-17T09:41:00Z</dcterms:created>
  <dcterms:modified xsi:type="dcterms:W3CDTF">2026-06-17T09:41:00Z</dcterms:modified>
</cp:coreProperties>
</file>