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3A" w:rsidRDefault="002D55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E91D3A" w:rsidRDefault="002D55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Жилье у лиц, не представивших подтверждение его приобретение законным путем, будет изыматься</w:t>
      </w:r>
      <w:bookmarkStart w:id="0" w:name="_GoBack"/>
      <w:bookmarkEnd w:id="0"/>
    </w:p>
    <w:p w:rsidR="00E91D3A" w:rsidRDefault="00E91D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91D3A" w:rsidRDefault="00E91D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91D3A" w:rsidRDefault="002D55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24.07.2023 № 354-ФЗ  закреплено, что жилые помещения, поступившие в государственный </w:t>
      </w:r>
      <w:r>
        <w:rPr>
          <w:rFonts w:ascii="Times New Roman" w:hAnsi="Times New Roman"/>
          <w:sz w:val="28"/>
        </w:rPr>
        <w:t>жилищный фонд в результате совершения коррупционного правонарушения, или в отношении которых не представлены в соответствии с законодательством о противодействии коррупции сведения, подтверждающие их приобретение на законные доходы, приватизируются в поряд</w:t>
      </w:r>
      <w:r>
        <w:rPr>
          <w:rFonts w:ascii="Times New Roman" w:hAnsi="Times New Roman"/>
          <w:sz w:val="28"/>
        </w:rPr>
        <w:t>ке, установленном Федеральным законом от 21.12.2001 № 178-ФЗ «О приватизации государственного и муниципального имущества», с учетом предусматриваемых поправками особенностей.</w:t>
      </w:r>
    </w:p>
    <w:p w:rsidR="00E91D3A" w:rsidRDefault="002D55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документом установлено, что приватизации подлежит жилое помещение, рыноч</w:t>
      </w:r>
      <w:r>
        <w:rPr>
          <w:rFonts w:ascii="Times New Roman" w:hAnsi="Times New Roman"/>
          <w:sz w:val="28"/>
        </w:rPr>
        <w:t>ная стоимость которого на вторичном рынке жилья превышает в два раза и более денежную сумму, определенную исходя из размера общей площади, умноженного на установленный показатель средней цены одного квадратного метра общей площади жилого помещения по соотв</w:t>
      </w:r>
      <w:r>
        <w:rPr>
          <w:rFonts w:ascii="Times New Roman" w:hAnsi="Times New Roman"/>
          <w:sz w:val="28"/>
        </w:rPr>
        <w:t>етствующему субъекту РФ.</w:t>
      </w:r>
    </w:p>
    <w:sectPr w:rsidR="00E91D3A" w:rsidSect="00E91D3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D3A"/>
    <w:rsid w:val="002D55CC"/>
    <w:rsid w:val="00E9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91D3A"/>
  </w:style>
  <w:style w:type="paragraph" w:styleId="10">
    <w:name w:val="heading 1"/>
    <w:next w:val="a"/>
    <w:link w:val="11"/>
    <w:uiPriority w:val="9"/>
    <w:qFormat/>
    <w:rsid w:val="00E91D3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91D3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91D3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91D3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91D3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91D3A"/>
  </w:style>
  <w:style w:type="paragraph" w:styleId="21">
    <w:name w:val="toc 2"/>
    <w:next w:val="a"/>
    <w:link w:val="22"/>
    <w:uiPriority w:val="39"/>
    <w:rsid w:val="00E91D3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91D3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91D3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91D3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91D3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91D3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91D3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91D3A"/>
    <w:rPr>
      <w:rFonts w:ascii="XO Thames" w:hAnsi="XO Thames"/>
      <w:sz w:val="28"/>
    </w:rPr>
  </w:style>
  <w:style w:type="paragraph" w:customStyle="1" w:styleId="Endnote">
    <w:name w:val="Endnote"/>
    <w:link w:val="Endnote0"/>
    <w:rsid w:val="00E91D3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91D3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91D3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91D3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91D3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91D3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91D3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91D3A"/>
    <w:rPr>
      <w:color w:val="0000FF"/>
      <w:u w:val="single"/>
    </w:rPr>
  </w:style>
  <w:style w:type="character" w:styleId="a3">
    <w:name w:val="Hyperlink"/>
    <w:link w:val="12"/>
    <w:rsid w:val="00E91D3A"/>
    <w:rPr>
      <w:color w:val="0000FF"/>
      <w:u w:val="single"/>
    </w:rPr>
  </w:style>
  <w:style w:type="paragraph" w:customStyle="1" w:styleId="Footnote">
    <w:name w:val="Footnote"/>
    <w:link w:val="Footnote0"/>
    <w:rsid w:val="00E91D3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91D3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91D3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91D3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91D3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91D3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91D3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91D3A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E91D3A"/>
  </w:style>
  <w:style w:type="paragraph" w:styleId="8">
    <w:name w:val="toc 8"/>
    <w:next w:val="a"/>
    <w:link w:val="80"/>
    <w:uiPriority w:val="39"/>
    <w:rsid w:val="00E91D3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91D3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91D3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91D3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91D3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91D3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91D3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E91D3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91D3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91D3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2026-04-15T12:22:00Z</dcterms:created>
  <dcterms:modified xsi:type="dcterms:W3CDTF">2026-04-15T12:22:00Z</dcterms:modified>
</cp:coreProperties>
</file>